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12B8E" w14:textId="77777777" w:rsidR="003D1A70" w:rsidRDefault="003D1A70" w:rsidP="003D1A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ČAS NA OBRAZOVCE A ZDRAVÝ SPÁNEK</w:t>
      </w:r>
    </w:p>
    <w:p w14:paraId="2160B590" w14:textId="77777777" w:rsidR="003D1A70" w:rsidRDefault="003D1A70" w:rsidP="003D1A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 vyplynulo z předchozích tematických bloků, je zjevné, že </w:t>
      </w:r>
      <w:r>
        <w:rPr>
          <w:rFonts w:ascii="Times New Roman" w:hAnsi="Times New Roman" w:cs="Times New Roman"/>
          <w:b/>
          <w:sz w:val="24"/>
          <w:szCs w:val="24"/>
        </w:rPr>
        <w:t>utváření životního stylu dětí výrazně podléhá vlivu rodičů</w:t>
      </w:r>
      <w:r>
        <w:rPr>
          <w:rFonts w:ascii="Times New Roman" w:hAnsi="Times New Roman" w:cs="Times New Roman"/>
          <w:sz w:val="24"/>
          <w:szCs w:val="24"/>
        </w:rPr>
        <w:t>, a to ve všech aspektech. Doposud jsme se zabývali stravováním a pohybem, ale jsou také další významné oblasti, ve kterých jsou rodiče pro své děti významným vzorem a které se stravováním a pohybem úzce souvisí, a to je např. čas strávený před obrazovkou.</w:t>
      </w:r>
    </w:p>
    <w:p w14:paraId="16221A06" w14:textId="77777777" w:rsidR="003D1A70" w:rsidRDefault="003D1A70" w:rsidP="003D1A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Čas na obrazovce</w:t>
      </w:r>
    </w:p>
    <w:p w14:paraId="354D2150" w14:textId="77777777" w:rsidR="003D1A70" w:rsidRDefault="003D1A70" w:rsidP="003D1A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Čas strávený před obrazovkou neboli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screen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čas strávený používáním zařízení s obrazovkou, jako je mobilní telefon, počítač, notebook, tablet nebo herní konzole. Pojem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screen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začal používat v souvislosti s výzkumy zaměřenými na důsledky času na obrazovce pro tělesné a duševní zdraví (1). Ve výzkumech se sledují jak dopady samotného záření, tak i sledovaného obsahu nebo pasivně stráveného volného času, a je zřejmé, že s rostoucí délkou času stráveného na obrazovce narůstají rizika zdravotních a u dětí i vývojových obtíží.</w:t>
      </w:r>
    </w:p>
    <w:p w14:paraId="6B03B853" w14:textId="77777777" w:rsidR="003D1A70" w:rsidRDefault="003D1A70" w:rsidP="003D1A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Světová zdravotnická organizace ve svém doporučení ohledně denního režimu dětí mladších 5 let uvádí, že děti do dvou let by neměly trávit před obrazovkou nejlépe neměly trávit vůbec žádný čas a děti od 2 do 5 let v součtu maximálně 1 hodinu denně (2).</w:t>
      </w:r>
    </w:p>
    <w:p w14:paraId="08C3462F" w14:textId="77777777" w:rsidR="003D1A70" w:rsidRDefault="003D1A70" w:rsidP="003D1A70">
      <w:pPr>
        <w:rPr>
          <w:rFonts w:ascii="Times New Roman" w:hAnsi="Times New Roman" w:cs="Times New Roman"/>
          <w:sz w:val="24"/>
          <w:szCs w:val="24"/>
        </w:rPr>
      </w:pPr>
    </w:p>
    <w:p w14:paraId="466840A1" w14:textId="77777777" w:rsidR="003D1A70" w:rsidRDefault="003D1A70" w:rsidP="003D1A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Obrazovky a spánek</w:t>
      </w:r>
    </w:p>
    <w:p w14:paraId="28844C3D" w14:textId="77777777" w:rsidR="003D1A70" w:rsidRDefault="003D1A70" w:rsidP="003D1A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 hlediska prevence obezity je důležitá zejména souvislost doby strávené před obrazovkou s utvářením sedavého způsobu života a také s nedostatkem spánku, s jeho zhoršenou kvalitou spánku i s problémy při usínání. U dětí je čas věnovaný sledování zřízení s obrazovkou tím časem, který by mohly a měly trávit aktivním pohybem. Navíc provedené studie ukazují, že modré světlo vyzařované obrazovkami </w:t>
      </w:r>
      <w:r>
        <w:rPr>
          <w:rFonts w:ascii="Times New Roman" w:hAnsi="Times New Roman" w:cs="Times New Roman"/>
          <w:spacing w:val="-5"/>
          <w:sz w:val="24"/>
          <w:szCs w:val="24"/>
          <w:shd w:val="clear" w:color="auto" w:fill="FFFFFF"/>
        </w:rPr>
        <w:t xml:space="preserve">brání produkci melatoninu, což je hormonu nezbytný pro usnutí. Světlo z obrazovek vysílá mozku vysílá mylný signál, že ještě nenastává večer, tedy čas ke spánku a narušuje tak naše biologické hodiny a </w:t>
      </w:r>
      <w:r>
        <w:rPr>
          <w:rFonts w:ascii="Times New Roman" w:hAnsi="Times New Roman" w:cs="Times New Roman"/>
          <w:sz w:val="24"/>
          <w:szCs w:val="24"/>
        </w:rPr>
        <w:t>zhoršuje usínání nejen dětí, ale i dospělých. Proto se dětem i dospělým doporučuje nesledovat obrazovku 1-2 hodiny před ulehnutím ke spánku (3).</w:t>
      </w:r>
    </w:p>
    <w:p w14:paraId="766D7B47" w14:textId="77777777" w:rsidR="003D1A70" w:rsidRDefault="003D1A70" w:rsidP="003D1A70"/>
    <w:p w14:paraId="611F38B2" w14:textId="77777777" w:rsidR="003D1A70" w:rsidRDefault="003D1A70" w:rsidP="003D1A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Obrazovka a rozvoj dítěte</w:t>
      </w:r>
    </w:p>
    <w:p w14:paraId="05CEDFB5" w14:textId="77777777" w:rsidR="003D1A70" w:rsidRDefault="003D1A70" w:rsidP="003D1A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Obrazovky jsou dnes již neodmyslitelnou součástí našeho, a tedy i dětského světa. Často se proto diskutuje nejen o negativních, ale i o pozitivních dopadech na děti, zejména v oblasti vzdělávání a rozvoje verbálních a kognitivních schopností. Výzkumy ukazují, že pozitivní účinky technologií jsou pozorovatelné u dětí přibližně od 3 let věku. Sledování vysoce kvalitních edukačních her a pořadů ve věku 3-5 let může mít pozitivní vliv na rozvoj verbálních a kognitivních schopností ve školním věku a v adolescenci. Důležitá role rodiče zde spočívá v tom, aby se zorientoval v širokém spektru nabídky dětských pořadů a her a pečlivě vybíral, co bude dítě na obrazovkách sledovat (4). </w:t>
      </w:r>
    </w:p>
    <w:p w14:paraId="6C68CA77" w14:textId="77777777" w:rsidR="003D1A70" w:rsidRDefault="003D1A70" w:rsidP="003D1A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Výzkumy však dlouhodobě ukazují, že naprosto zásadním faktorem ovlivňujícím vývoj dítěte ve všech směrech je vztah mezi rodiči a dítětem. Děti potřebují především dostatečnou pozornost, péči, lásku, společné aktivity, výchovu a učení ze strany rodičů, případně jiných blízkých osob. Tyto zkušenosti utvářejí dispozice dítěte pro další kognitivní vývoj a pozdější úspěchy ve škole (4).</w:t>
      </w:r>
    </w:p>
    <w:p w14:paraId="0B2C1B6A" w14:textId="77777777" w:rsidR="003D1A70" w:rsidRDefault="003D1A70" w:rsidP="003D1A70">
      <w:pPr>
        <w:rPr>
          <w:rFonts w:ascii="Times New Roman" w:hAnsi="Times New Roman" w:cs="Times New Roman"/>
          <w:b/>
          <w:sz w:val="24"/>
          <w:szCs w:val="24"/>
        </w:rPr>
      </w:pPr>
    </w:p>
    <w:p w14:paraId="36245F71" w14:textId="77777777" w:rsidR="003D1A70" w:rsidRDefault="003D1A70" w:rsidP="003D1A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Čas před obrazovkou, poruchy pozornosti a hyperaktivita</w:t>
      </w:r>
    </w:p>
    <w:p w14:paraId="2C6E32CA" w14:textId="77777777" w:rsidR="003D1A70" w:rsidRDefault="003D1A70" w:rsidP="003D1A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když se běžně setkáváme s názory, že sledování obrazovky a používání technologií v raném dětství vede k rozvoji poruch pozornosti a hyperaktivity. Taková souvislost ale doposud nebyla výzkumem potvrzena (4). </w:t>
      </w:r>
    </w:p>
    <w:p w14:paraId="1A9F46D4" w14:textId="77777777" w:rsidR="003D1A70" w:rsidRDefault="003D1A70" w:rsidP="003D1A70">
      <w:pPr>
        <w:rPr>
          <w:rFonts w:ascii="Times New Roman" w:hAnsi="Times New Roman" w:cs="Times New Roman"/>
          <w:sz w:val="24"/>
          <w:szCs w:val="24"/>
        </w:rPr>
      </w:pPr>
    </w:p>
    <w:p w14:paraId="6B6CE584" w14:textId="77777777" w:rsidR="003D1A70" w:rsidRDefault="003D1A70" w:rsidP="003D1A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Zdroje </w:t>
      </w:r>
    </w:p>
    <w:p w14:paraId="4BADE320" w14:textId="77777777" w:rsidR="003D1A70" w:rsidRDefault="003D1A70" w:rsidP="003D1A70">
      <w:pPr>
        <w:pStyle w:val="Odstavecseseznamem"/>
        <w:numPr>
          <w:ilvl w:val="0"/>
          <w:numId w:val="13"/>
        </w:numPr>
        <w:shd w:val="clear" w:color="auto" w:fill="FFFFFF"/>
        <w:spacing w:before="100" w:beforeAutospacing="1" w:after="24" w:line="25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202122"/>
          <w:sz w:val="24"/>
          <w:szCs w:val="24"/>
          <w:lang w:eastAsia="cs-CZ"/>
        </w:rPr>
        <w:t>Screen</w:t>
      </w:r>
      <w:proofErr w:type="spellEnd"/>
      <w:r>
        <w:rPr>
          <w:rFonts w:ascii="Times New Roman" w:eastAsia="Times New Roman" w:hAnsi="Times New Roman" w:cs="Times New Roman"/>
          <w:i/>
          <w:iCs/>
          <w:color w:val="202122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202122"/>
          <w:sz w:val="24"/>
          <w:szCs w:val="24"/>
          <w:lang w:eastAsia="cs-CZ"/>
        </w:rPr>
        <w:t>time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  <w:lang w:eastAsia="cs-CZ"/>
        </w:rPr>
        <w:t> [online], poslední aktualizace 6. dubna 2021 [cit. 10. 4. 2021], Wikipedie. Dostupné z: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https://cs.qaz.wiki/wiki/Screen_time</w:t>
        </w:r>
      </w:hyperlink>
    </w:p>
    <w:p w14:paraId="68EF2B4C" w14:textId="77777777" w:rsidR="003D1A70" w:rsidRDefault="003D1A70" w:rsidP="003D1A70">
      <w:pPr>
        <w:pStyle w:val="Odstavecseseznamem"/>
        <w:numPr>
          <w:ilvl w:val="0"/>
          <w:numId w:val="13"/>
        </w:numPr>
        <w:shd w:val="clear" w:color="auto" w:fill="FFFFFF"/>
        <w:spacing w:before="100" w:beforeAutospacing="1" w:after="24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To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grow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up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healthy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children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need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sit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less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and play more </w:t>
      </w:r>
      <w:r>
        <w:rPr>
          <w:rFonts w:ascii="Times New Roman" w:eastAsia="Times New Roman" w:hAnsi="Times New Roman" w:cs="Times New Roman"/>
          <w:color w:val="202122"/>
          <w:sz w:val="24"/>
          <w:szCs w:val="24"/>
          <w:lang w:eastAsia="cs-CZ"/>
        </w:rPr>
        <w:t xml:space="preserve">[online].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  <w:lang w:eastAsia="cs-CZ"/>
        </w:rPr>
        <w:t>World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  <w:lang w:eastAsia="cs-CZ"/>
        </w:rPr>
        <w:t>Health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  <w:lang w:eastAsia="cs-CZ"/>
        </w:rPr>
        <w:t>Organization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  <w:lang w:eastAsia="cs-CZ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  <w:lang w:eastAsia="cs-CZ"/>
        </w:rPr>
        <w:t>Geneva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  <w:lang w:eastAsia="cs-CZ"/>
        </w:rPr>
        <w:t xml:space="preserve"> 24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  <w:lang w:eastAsia="cs-CZ"/>
        </w:rPr>
        <w:t>April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  <w:lang w:eastAsia="cs-CZ"/>
        </w:rPr>
        <w:t xml:space="preserve"> 2019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[cit. 2020-04-20]. Dostupné z: </w:t>
      </w:r>
      <w:hyperlink r:id="rId8" w:history="1">
        <w:r>
          <w:rPr>
            <w:rStyle w:val="Hypertextovodkaz"/>
            <w:rFonts w:ascii="Times New Roman" w:hAnsi="Times New Roman" w:cs="Times New Roman"/>
            <w:sz w:val="24"/>
            <w:szCs w:val="24"/>
            <w:shd w:val="clear" w:color="auto" w:fill="FFFFFF"/>
          </w:rPr>
          <w:t>https://www.who.int/news/item/24-04-2019-to-grow-up-healthy-children-need-to-sit-less-and-play-more</w:t>
        </w:r>
      </w:hyperlink>
    </w:p>
    <w:p w14:paraId="3A5CF94C" w14:textId="77777777" w:rsidR="003D1A70" w:rsidRDefault="003D1A70" w:rsidP="003D1A70">
      <w:pPr>
        <w:pStyle w:val="Odstavecseseznamem"/>
        <w:numPr>
          <w:ilvl w:val="0"/>
          <w:numId w:val="13"/>
        </w:numPr>
        <w:shd w:val="clear" w:color="auto" w:fill="FFFFFF"/>
        <w:spacing w:before="100" w:beforeAutospacing="1" w:after="24" w:line="25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  <w:szCs w:val="24"/>
        </w:rPr>
        <w:t>Sladké sny.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Osm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tipů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jak se vyspat do růžova. </w:t>
      </w:r>
      <w:r>
        <w:rPr>
          <w:rFonts w:ascii="Times New Roman" w:hAnsi="Times New Roman" w:cs="Times New Roman"/>
          <w:sz w:val="24"/>
          <w:szCs w:val="24"/>
        </w:rPr>
        <w:t xml:space="preserve">16. dubna 2020 </w:t>
      </w:r>
      <w:r>
        <w:rPr>
          <w:rFonts w:ascii="Times New Roman" w:eastAsia="Times New Roman" w:hAnsi="Times New Roman" w:cs="Times New Roman"/>
          <w:color w:val="202122"/>
          <w:sz w:val="24"/>
          <w:szCs w:val="24"/>
          <w:lang w:eastAsia="cs-CZ"/>
        </w:rPr>
        <w:t xml:space="preserve">[cit. 10. 8. 2020].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  <w:lang w:eastAsia="cs-CZ"/>
        </w:rPr>
        <w:t>Welcome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  <w:lang w:eastAsia="cs-CZ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  <w:lang w:eastAsia="cs-CZ"/>
        </w:rPr>
        <w:t>the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  <w:lang w:eastAsia="cs-CZ"/>
        </w:rPr>
        <w:t>jungle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  <w:lang w:eastAsia="cs-CZ"/>
        </w:rPr>
        <w:t>. Dostupné z: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>
          <w:rPr>
            <w:rStyle w:val="Hypertextovodkaz"/>
            <w:rFonts w:ascii="Times New Roman" w:hAnsi="Times New Roman" w:cs="Times New Roman"/>
            <w:sz w:val="24"/>
            <w:szCs w:val="24"/>
          </w:rPr>
          <w:t>https://www.welcometothejungle.com/cs/articles/sladke-sny-osm-tipu-jak-se-vyspat-do-ruzova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30F3C824" w14:textId="2C19A295" w:rsidR="00715D66" w:rsidRPr="003D1A70" w:rsidRDefault="003D1A70" w:rsidP="003D1A70">
      <w:pPr>
        <w:pStyle w:val="Odstavecseseznamem"/>
        <w:numPr>
          <w:ilvl w:val="0"/>
          <w:numId w:val="13"/>
        </w:numPr>
        <w:shd w:val="clear" w:color="auto" w:fill="FFFFFF"/>
        <w:spacing w:before="100" w:beforeAutospacing="1" w:after="24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SLUSSAREFF, Michaela, 2019. Obrazovky v dětském věku: vliv na spánek, učení a pozornost. Zásady pro zdravé způsoby užívání. </w:t>
      </w:r>
      <w:r>
        <w:rPr>
          <w:rFonts w:ascii="Times New Roman" w:hAnsi="Times New Roman" w:cs="Times New Roman"/>
          <w:i/>
          <w:iCs/>
          <w:color w:val="212529"/>
          <w:sz w:val="24"/>
          <w:szCs w:val="24"/>
          <w:shd w:val="clear" w:color="auto" w:fill="FFFFFF"/>
        </w:rPr>
        <w:t>Pediatrie pro Praxi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 [online]. </w:t>
      </w:r>
      <w:r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  <w:t>20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(1), 19-22 [cit. 2021-4-15]. ISSN 12130494. Dostupné z: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>
          <w:rPr>
            <w:rStyle w:val="Hypertextovodkaz"/>
            <w:rFonts w:ascii="Times New Roman" w:hAnsi="Times New Roman" w:cs="Times New Roman"/>
            <w:sz w:val="24"/>
            <w:szCs w:val="24"/>
            <w:shd w:val="clear" w:color="auto" w:fill="FFFFFF"/>
          </w:rPr>
          <w:t>https://www.psychiatriepropraxi.cz/pdfs/psy/2019/89/01.pdf</w:t>
        </w:r>
      </w:hyperlink>
    </w:p>
    <w:sectPr w:rsidR="00715D66" w:rsidRPr="003D1A70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A9213" w14:textId="77777777" w:rsidR="003615AA" w:rsidRDefault="003615AA" w:rsidP="00AF2660">
      <w:pPr>
        <w:spacing w:after="0" w:line="240" w:lineRule="auto"/>
      </w:pPr>
      <w:r>
        <w:separator/>
      </w:r>
    </w:p>
  </w:endnote>
  <w:endnote w:type="continuationSeparator" w:id="0">
    <w:p w14:paraId="4999FE36" w14:textId="77777777" w:rsidR="003615AA" w:rsidRDefault="003615AA" w:rsidP="00AF2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1EFF8" w14:textId="77777777" w:rsidR="00AF2660" w:rsidRDefault="007C121C" w:rsidP="007C121C">
    <w:pPr>
      <w:pStyle w:val="Zpa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9E304" w14:textId="77777777" w:rsidR="003615AA" w:rsidRDefault="003615AA" w:rsidP="00AF2660">
      <w:pPr>
        <w:spacing w:after="0" w:line="240" w:lineRule="auto"/>
      </w:pPr>
      <w:bookmarkStart w:id="0" w:name="_Hlk48298399"/>
      <w:bookmarkEnd w:id="0"/>
      <w:r>
        <w:separator/>
      </w:r>
    </w:p>
  </w:footnote>
  <w:footnote w:type="continuationSeparator" w:id="0">
    <w:p w14:paraId="1E2B8B49" w14:textId="77777777" w:rsidR="003615AA" w:rsidRDefault="003615AA" w:rsidP="00AF2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3533D" w14:textId="77777777" w:rsidR="007C121C" w:rsidRDefault="001562EF" w:rsidP="001562EF">
    <w:pPr>
      <w:pStyle w:val="Zhlav"/>
    </w:pPr>
    <w:r>
      <w:rPr>
        <w:noProof/>
      </w:rPr>
      <w:drawing>
        <wp:inline distT="0" distB="0" distL="0" distR="0" wp14:anchorId="5C1B12B1" wp14:editId="15A9015F">
          <wp:extent cx="2371725" cy="648315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5635" cy="673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mc:AlternateContent>
        <mc:Choice Requires="wps">
          <w:drawing>
            <wp:inline distT="0" distB="0" distL="0" distR="0" wp14:anchorId="0FA650AA" wp14:editId="7A71313E">
              <wp:extent cx="2847975" cy="628650"/>
              <wp:effectExtent l="0" t="0" r="28575" b="19050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7975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7B0D29" w14:textId="77777777" w:rsidR="00456D50" w:rsidRPr="001562EF" w:rsidRDefault="00456D50" w:rsidP="00456D50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1562EF">
                            <w:rPr>
                              <w:sz w:val="16"/>
                              <w:szCs w:val="16"/>
                            </w:rPr>
                            <w:t xml:space="preserve">Projekt </w:t>
                          </w:r>
                          <w:r w:rsidRPr="001562EF">
                            <w:rPr>
                              <w:rFonts w:cstheme="minorHAnsi"/>
                              <w:b/>
                              <w:bCs/>
                              <w:sz w:val="16"/>
                              <w:szCs w:val="16"/>
                            </w:rPr>
                            <w:t>TL01000320</w:t>
                          </w:r>
                          <w:r w:rsidRPr="001562EF">
                            <w:rPr>
                              <w:sz w:val="16"/>
                              <w:szCs w:val="16"/>
                            </w:rPr>
                            <w:t xml:space="preserve"> „Vytvoření komplexního systému ochrany zdraví dětí a rodiny v kontextu změn 21. století se zaměřením na dětskou obezitu, výživu a pohyb“ je spolufinancován se státní podporou Technologické agentury ČR v rámci programu ÉTA.</w:t>
                          </w:r>
                        </w:p>
                        <w:p w14:paraId="02B4BEA2" w14:textId="77777777" w:rsidR="007C121C" w:rsidRPr="001562EF" w:rsidRDefault="007C121C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FA650AA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width:224.25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">
              <v:textbox>
                <w:txbxContent>
                  <w:p w14:paraId="637B0D29" w14:textId="77777777" w:rsidR="00456D50" w:rsidRPr="001562EF" w:rsidRDefault="00456D50" w:rsidP="00456D50">
                    <w:pPr>
                      <w:rPr>
                        <w:sz w:val="16"/>
                        <w:szCs w:val="16"/>
                      </w:rPr>
                    </w:pPr>
                    <w:r w:rsidRPr="001562EF">
                      <w:rPr>
                        <w:sz w:val="16"/>
                        <w:szCs w:val="16"/>
                      </w:rPr>
                      <w:t xml:space="preserve">Projekt </w:t>
                    </w:r>
                    <w:r w:rsidRPr="001562EF">
                      <w:rPr>
                        <w:rFonts w:cstheme="minorHAnsi"/>
                        <w:b/>
                        <w:bCs/>
                        <w:sz w:val="16"/>
                        <w:szCs w:val="16"/>
                      </w:rPr>
                      <w:t>TL01000320</w:t>
                    </w:r>
                    <w:r w:rsidRPr="001562EF">
                      <w:rPr>
                        <w:sz w:val="16"/>
                        <w:szCs w:val="16"/>
                      </w:rPr>
                      <w:t xml:space="preserve"> „Vytvoření komplexního systému ochrany zdraví dětí a rodiny v kontextu změn 21. století se zaměřením na dětskou obezitu, výživu a pohyb“ je spolufinancován se státní podporou Technologické agentury ČR v rámci programu ÉTA.</w:t>
                    </w:r>
                  </w:p>
                  <w:p w14:paraId="02B4BEA2" w14:textId="77777777" w:rsidR="007C121C" w:rsidRPr="001562EF" w:rsidRDefault="007C121C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351D290C" w14:textId="77777777" w:rsidR="001562EF" w:rsidRDefault="001562EF" w:rsidP="001562E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112E8"/>
    <w:multiLevelType w:val="hybridMultilevel"/>
    <w:tmpl w:val="0996FB8A"/>
    <w:lvl w:ilvl="0" w:tplc="552A9F9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9771A6"/>
    <w:multiLevelType w:val="hybridMultilevel"/>
    <w:tmpl w:val="854887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B6E0F"/>
    <w:multiLevelType w:val="hybridMultilevel"/>
    <w:tmpl w:val="E5881E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2511F"/>
    <w:multiLevelType w:val="hybridMultilevel"/>
    <w:tmpl w:val="BCC6A946"/>
    <w:lvl w:ilvl="0" w:tplc="552A9F92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EE71A21"/>
    <w:multiLevelType w:val="hybridMultilevel"/>
    <w:tmpl w:val="37BA60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E83557"/>
    <w:multiLevelType w:val="hybridMultilevel"/>
    <w:tmpl w:val="2962DB7C"/>
    <w:lvl w:ilvl="0" w:tplc="552A9F9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FE56679"/>
    <w:multiLevelType w:val="hybridMultilevel"/>
    <w:tmpl w:val="E43C5364"/>
    <w:lvl w:ilvl="0" w:tplc="552A9F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295598"/>
    <w:multiLevelType w:val="hybridMultilevel"/>
    <w:tmpl w:val="D996D43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4C348B8"/>
    <w:multiLevelType w:val="multilevel"/>
    <w:tmpl w:val="D7CE7B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8302AC"/>
    <w:multiLevelType w:val="hybridMultilevel"/>
    <w:tmpl w:val="41EEBE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D673A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73A3983"/>
    <w:multiLevelType w:val="hybridMultilevel"/>
    <w:tmpl w:val="086C95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11227F"/>
    <w:multiLevelType w:val="hybridMultilevel"/>
    <w:tmpl w:val="35FC8750"/>
    <w:lvl w:ilvl="0" w:tplc="552A9F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1"/>
  </w:num>
  <w:num w:numId="5">
    <w:abstractNumId w:val="4"/>
  </w:num>
  <w:num w:numId="6">
    <w:abstractNumId w:val="9"/>
  </w:num>
  <w:num w:numId="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12D"/>
    <w:rsid w:val="000067E0"/>
    <w:rsid w:val="001562EF"/>
    <w:rsid w:val="002300C6"/>
    <w:rsid w:val="002C1B7C"/>
    <w:rsid w:val="002F2D66"/>
    <w:rsid w:val="00305347"/>
    <w:rsid w:val="00345BE0"/>
    <w:rsid w:val="003615AA"/>
    <w:rsid w:val="003D1A70"/>
    <w:rsid w:val="00456D50"/>
    <w:rsid w:val="00563891"/>
    <w:rsid w:val="0056550D"/>
    <w:rsid w:val="00571EA7"/>
    <w:rsid w:val="005F2696"/>
    <w:rsid w:val="00700A88"/>
    <w:rsid w:val="00715D66"/>
    <w:rsid w:val="00764CCE"/>
    <w:rsid w:val="007C121C"/>
    <w:rsid w:val="008228DD"/>
    <w:rsid w:val="00940E97"/>
    <w:rsid w:val="00A36A02"/>
    <w:rsid w:val="00A61D4E"/>
    <w:rsid w:val="00A724F4"/>
    <w:rsid w:val="00AF2660"/>
    <w:rsid w:val="00B178ED"/>
    <w:rsid w:val="00BD6C1C"/>
    <w:rsid w:val="00BE35EB"/>
    <w:rsid w:val="00CE3518"/>
    <w:rsid w:val="00D17693"/>
    <w:rsid w:val="00D3221E"/>
    <w:rsid w:val="00E973BB"/>
    <w:rsid w:val="00EC6BFC"/>
    <w:rsid w:val="00EF43EC"/>
    <w:rsid w:val="00F2412D"/>
    <w:rsid w:val="00F461EB"/>
    <w:rsid w:val="00FA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8AD16D"/>
  <w15:chartTrackingRefBased/>
  <w15:docId w15:val="{3309EAB1-FD80-4543-BC3C-A46ACFD17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ibliografie">
    <w:name w:val="Bibliography"/>
    <w:basedOn w:val="Normln"/>
    <w:next w:val="Normln"/>
    <w:uiPriority w:val="37"/>
    <w:unhideWhenUsed/>
    <w:rsid w:val="00715D66"/>
    <w:pPr>
      <w:tabs>
        <w:tab w:val="left" w:pos="384"/>
      </w:tabs>
      <w:spacing w:after="240" w:line="240" w:lineRule="auto"/>
      <w:ind w:left="384" w:hanging="384"/>
    </w:pPr>
  </w:style>
  <w:style w:type="paragraph" w:styleId="Odstavecseseznamem">
    <w:name w:val="List Paragraph"/>
    <w:basedOn w:val="Normln"/>
    <w:uiPriority w:val="34"/>
    <w:qFormat/>
    <w:rsid w:val="00715D66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D1769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Mkatabulky">
    <w:name w:val="Table Grid"/>
    <w:basedOn w:val="Normlntabulka"/>
    <w:uiPriority w:val="39"/>
    <w:rsid w:val="00E97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F2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2660"/>
  </w:style>
  <w:style w:type="paragraph" w:styleId="Zpat">
    <w:name w:val="footer"/>
    <w:basedOn w:val="Normln"/>
    <w:link w:val="ZpatChar"/>
    <w:uiPriority w:val="99"/>
    <w:unhideWhenUsed/>
    <w:rsid w:val="00AF2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2660"/>
  </w:style>
  <w:style w:type="character" w:styleId="Hypertextovodkaz">
    <w:name w:val="Hyperlink"/>
    <w:basedOn w:val="Standardnpsmoodstavce"/>
    <w:uiPriority w:val="99"/>
    <w:semiHidden/>
    <w:unhideWhenUsed/>
    <w:rsid w:val="003D1A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3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ho.int/news/item/24-04-2019-to-grow-up-healthy-children-need-to-sit-less-and-play-mor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s.qaz.wiki/wiki/Screen_tim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psychiatriepropraxi.cz/pdfs/psy/2019/89/0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elcometothejungle.com/cs/articles/sladke-sny-osm-tipu-jak-se-vyspat-do-ruzov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Kotalová</dc:creator>
  <cp:keywords/>
  <dc:description/>
  <cp:lastModifiedBy>Lucie Smejkalová</cp:lastModifiedBy>
  <cp:revision>2</cp:revision>
  <dcterms:created xsi:type="dcterms:W3CDTF">2021-04-26T21:31:00Z</dcterms:created>
  <dcterms:modified xsi:type="dcterms:W3CDTF">2021-04-26T21:31:00Z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zotero-version="5.0.77"&gt;&lt;session id="bBHHisTP"/&gt;&lt;style id="http://www.zotero.org/styles/american-medical-association" hasBibliography="1" bibliographyStyleHasBeenSet="1"/&gt;&lt;prefs&gt;&lt;pref name="fieldType" value="Field"/&gt;&lt;/prefs&gt;&lt;/data&gt;</vt:lpwstr>
  </property>
</Properties>
</file>